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29" w:rsidRDefault="00A2108E">
      <w:r>
        <w:rPr>
          <w:noProof/>
        </w:rPr>
        <w:pict>
          <v:shapetype id="_x0000_t202" coordsize="21600,21600" o:spt="202" path="m,l,21600r21600,l21600,xe">
            <v:stroke joinstyle="miter"/>
            <v:path gradientshapeok="t" o:connecttype="rect"/>
          </v:shapetype>
          <v:shape id="_x0000_s1026" type="#_x0000_t202" style="position:absolute;margin-left:130.5pt;margin-top:0;width:291pt;height:143.25pt;z-index:251658240">
            <v:textbox>
              <w:txbxContent>
                <w:p w:rsidR="00293603" w:rsidRPr="00293603" w:rsidRDefault="00293603" w:rsidP="00293603">
                  <w:pPr>
                    <w:jc w:val="center"/>
                    <w:rPr>
                      <w:sz w:val="20"/>
                      <w:szCs w:val="20"/>
                    </w:rPr>
                  </w:pPr>
                  <w:r w:rsidRPr="00293603">
                    <w:rPr>
                      <w:sz w:val="20"/>
                      <w:szCs w:val="20"/>
                    </w:rPr>
                    <w:t>Headquarters</w:t>
                  </w:r>
                </w:p>
                <w:p w:rsidR="00293603" w:rsidRPr="00293603" w:rsidRDefault="00293603" w:rsidP="00293603">
                  <w:pPr>
                    <w:jc w:val="center"/>
                    <w:rPr>
                      <w:sz w:val="20"/>
                      <w:szCs w:val="20"/>
                    </w:rPr>
                  </w:pPr>
                  <w:r w:rsidRPr="00293603">
                    <w:rPr>
                      <w:sz w:val="20"/>
                      <w:szCs w:val="20"/>
                    </w:rPr>
                    <w:t>Commander Second Military District Sons Veterans Reserve</w:t>
                  </w:r>
                </w:p>
                <w:p w:rsidR="00293603" w:rsidRPr="00293603" w:rsidRDefault="00293603" w:rsidP="00293603">
                  <w:pPr>
                    <w:jc w:val="center"/>
                    <w:rPr>
                      <w:sz w:val="20"/>
                      <w:szCs w:val="20"/>
                    </w:rPr>
                  </w:pPr>
                  <w:r w:rsidRPr="00293603">
                    <w:rPr>
                      <w:sz w:val="20"/>
                      <w:szCs w:val="20"/>
                    </w:rPr>
                    <w:t>104 Mullbury Place</w:t>
                  </w:r>
                </w:p>
                <w:p w:rsidR="00293603" w:rsidRPr="00293603" w:rsidRDefault="00293603" w:rsidP="00293603">
                  <w:pPr>
                    <w:jc w:val="center"/>
                    <w:rPr>
                      <w:sz w:val="20"/>
                      <w:szCs w:val="20"/>
                    </w:rPr>
                  </w:pPr>
                  <w:r w:rsidRPr="00293603">
                    <w:rPr>
                      <w:sz w:val="20"/>
                      <w:szCs w:val="20"/>
                    </w:rPr>
                    <w:t>Lynchburg, Virginia 24502</w:t>
                  </w:r>
                </w:p>
                <w:p w:rsidR="00293603" w:rsidRDefault="00293603" w:rsidP="00293603">
                  <w:pPr>
                    <w:jc w:val="center"/>
                    <w:rPr>
                      <w:sz w:val="20"/>
                      <w:szCs w:val="20"/>
                    </w:rPr>
                  </w:pPr>
                  <w:r w:rsidRPr="00293603">
                    <w:rPr>
                      <w:sz w:val="20"/>
                      <w:szCs w:val="20"/>
                    </w:rPr>
                    <w:t>(434)385-7283 or (540)797-7754</w:t>
                  </w:r>
                </w:p>
                <w:p w:rsidR="00293603" w:rsidRDefault="00293603" w:rsidP="00293603">
                  <w:pPr>
                    <w:jc w:val="center"/>
                    <w:rPr>
                      <w:sz w:val="20"/>
                      <w:szCs w:val="20"/>
                    </w:rPr>
                  </w:pPr>
                  <w:r>
                    <w:rPr>
                      <w:sz w:val="20"/>
                      <w:szCs w:val="20"/>
                    </w:rPr>
                    <w:t>email: oscmbb64@msn.com</w:t>
                  </w:r>
                </w:p>
                <w:p w:rsidR="00293603" w:rsidRDefault="00293603" w:rsidP="00293603">
                  <w:pPr>
                    <w:jc w:val="center"/>
                    <w:rPr>
                      <w:sz w:val="20"/>
                      <w:szCs w:val="20"/>
                    </w:rPr>
                  </w:pPr>
                </w:p>
                <w:p w:rsidR="00293603" w:rsidRDefault="00293603" w:rsidP="00293603">
                  <w:pPr>
                    <w:jc w:val="center"/>
                    <w:rPr>
                      <w:sz w:val="20"/>
                      <w:szCs w:val="20"/>
                    </w:rPr>
                  </w:pPr>
                </w:p>
                <w:p w:rsidR="00293603" w:rsidRPr="00293603" w:rsidRDefault="00293603" w:rsidP="00293603">
                  <w:pPr>
                    <w:jc w:val="center"/>
                    <w:rPr>
                      <w:sz w:val="20"/>
                      <w:szCs w:val="20"/>
                    </w:rPr>
                  </w:pPr>
                  <w:r>
                    <w:rPr>
                      <w:sz w:val="20"/>
                      <w:szCs w:val="20"/>
                    </w:rPr>
                    <w:t>O</w:t>
                  </w:r>
                </w:p>
                <w:p w:rsidR="00293603" w:rsidRDefault="00293603" w:rsidP="00293603">
                  <w:pPr>
                    <w:jc w:val="center"/>
                  </w:pPr>
                </w:p>
              </w:txbxContent>
            </v:textbox>
          </v:shape>
        </w:pict>
      </w:r>
      <w:r w:rsidR="00293603">
        <w:rPr>
          <w:noProof/>
        </w:rPr>
        <w:drawing>
          <wp:inline distT="0" distB="0" distL="0" distR="0">
            <wp:extent cx="1753392" cy="1800225"/>
            <wp:effectExtent l="19050" t="0" r="0" b="0"/>
            <wp:docPr id="1" name="Picture 0" descr="2nd Mil District Flag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Mil District Flag 022.JPG"/>
                    <pic:cNvPicPr/>
                  </pic:nvPicPr>
                  <pic:blipFill>
                    <a:blip r:embed="rId4" cstate="print"/>
                    <a:stretch>
                      <a:fillRect/>
                    </a:stretch>
                  </pic:blipFill>
                  <pic:spPr>
                    <a:xfrm>
                      <a:off x="0" y="0"/>
                      <a:ext cx="1754832" cy="1801703"/>
                    </a:xfrm>
                    <a:prstGeom prst="rect">
                      <a:avLst/>
                    </a:prstGeom>
                  </pic:spPr>
                </pic:pic>
              </a:graphicData>
            </a:graphic>
          </wp:inline>
        </w:drawing>
      </w:r>
    </w:p>
    <w:p w:rsidR="00293603" w:rsidRDefault="00293603"/>
    <w:p w:rsidR="00017162" w:rsidRPr="00017162" w:rsidRDefault="00017162">
      <w:pPr>
        <w:rPr>
          <w:b/>
          <w:u w:val="single"/>
        </w:rPr>
      </w:pPr>
      <w:r>
        <w:rPr>
          <w:b/>
          <w:u w:val="single"/>
        </w:rPr>
        <w:t xml:space="preserve">Second </w:t>
      </w:r>
      <w:r w:rsidRPr="00017162">
        <w:rPr>
          <w:b/>
          <w:u w:val="single"/>
        </w:rPr>
        <w:t xml:space="preserve"> Military District General Order 3-2012</w:t>
      </w:r>
    </w:p>
    <w:p w:rsidR="00293603" w:rsidRDefault="00293603">
      <w:r>
        <w:t>Unit Commanders and Adjutants,</w:t>
      </w:r>
    </w:p>
    <w:p w:rsidR="000022D5" w:rsidRDefault="00017162">
      <w:r>
        <w:t>We are quickly approaching the end of the year, I remind you that annual reports will be due at the end of December.  Unit Commanders and Adjutants should be in the process of completing the reports and sending them to the district adjutant.  Please take action to  complete these required reports and be sure to file you 990N with the IRS.</w:t>
      </w:r>
    </w:p>
    <w:p w:rsidR="00017162" w:rsidRDefault="00017162"/>
    <w:p w:rsidR="00017162" w:rsidRDefault="00017162"/>
    <w:p w:rsidR="00017162" w:rsidRDefault="000022D5">
      <w:r>
        <w:t>Mark R. Day</w:t>
      </w:r>
      <w:r w:rsidR="00017162">
        <w:t>, Major</w:t>
      </w:r>
    </w:p>
    <w:p w:rsidR="006A6ACF" w:rsidRDefault="006A6ACF">
      <w:r>
        <w:t>Commander 2nd Military District, SVR</w:t>
      </w:r>
    </w:p>
    <w:sectPr w:rsidR="006A6ACF" w:rsidSect="001A3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3603"/>
    <w:rsid w:val="000022D5"/>
    <w:rsid w:val="00017162"/>
    <w:rsid w:val="000B3236"/>
    <w:rsid w:val="001A3B29"/>
    <w:rsid w:val="001D1729"/>
    <w:rsid w:val="00293603"/>
    <w:rsid w:val="00373B10"/>
    <w:rsid w:val="006A6ACF"/>
    <w:rsid w:val="00A2108E"/>
    <w:rsid w:val="00AD68BB"/>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2012-11-24T15:06:00Z</dcterms:created>
  <dcterms:modified xsi:type="dcterms:W3CDTF">2012-11-24T15:06:00Z</dcterms:modified>
</cp:coreProperties>
</file>